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2013/395 vom 21. August 2015</w:t>
      </w:r>
    </w:p>
    <w:p>
      <w:r>
        <w:t>Sg Versicherungsgericht, 2015-08-21, DE</w:t>
      </w:r>
    </w:p>
    <w:p>
      <w:r>
        <w:rPr>
          <w:b/>
        </w:rPr>
        <w:t xml:space="preserve">Quelle: </w:t>
      </w:r>
      <w:r>
        <w:t>https://mcp.opencaselaw.ch/entscheid/sg_publikationen_IV 2013_395</w:t>
      </w:r>
    </w:p>
    <w:p>
      <w:r>
        <w:t>FR: SG_VERSICHERUNGSGERICHT IV 2013/395 du 21 août 2015</w:t>
      </w:r>
    </w:p>
    <w:p>
      <w:r>
        <w:t>IT: SG_VERSICHERUNGSGERICHT IV 2013/395 del 21 agosto 2015</w:t>
      </w:r>
    </w:p>
    <w:p>
      <w:pPr>
        <w:pStyle w:val="Heading2"/>
      </w:pPr>
      <w:r>
        <w:t>Regeste</w:t>
      </w:r>
    </w:p>
    <w:p>
      <w:r>
        <w:t>Art. 28 IVG und Art. 7 ATSG. Die aus einem Rückenschmerzleiden und einer mittelgradigen depressiven Störung resultierende Beeinträchtigung des Gesundheitszustands führt zu einer Erwerbsunfähigkeit. Anspruch auf eine halbe Rente. (Entscheid des Versicherungsgerichts des Kantons St. Gallen vom 21. August 2015, IV 2013/395).</w:t>
      </w:r>
    </w:p>
    <w:p>
      <w:pPr>
        <w:pStyle w:val="Heading2"/>
      </w:pPr>
      <w:r>
        <w:t>Erwägungen</w:t>
      </w:r>
    </w:p>
    <w:p>
      <w:r>
        <w:rPr>
          <w:b/>
        </w:rPr>
        <w:t>E. 1</w:t>
      </w:r>
    </w:p>
    <w:p>
      <w:r>
        <w:t>Zwischen den Parteien umstritten und nachfolgend zu prüfen ist der Rentenanspruch der Beschwerdeführerin. 1.1      Unter Invalidität wird die voraussichtlich bleibende oder längere Zeit dauernde ganze oder teilweise Erwerbsunfähigkeit verstanden (Art. 8 des Bundesgesetzes über den Allgemeinen Teil des Sozialversicherungsrechts [ATSG; SR 830.1]).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1.2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w:t>
      </w:r>
    </w:p>
    <w:p>
      <w:r>
        <w:rPr>
          <w:b/>
        </w:rPr>
        <w:t>E. 2</w:t>
      </w:r>
    </w:p>
    <w:p>
      <w:r>
        <w:t>In medizinischer Hinsicht stützte sich der angefochtene Entscheid auf die gutachterliche Einschätzung der Dres. I.___ und J.___ vom 30. April 2012 (siehe insbesondere die Begründung im Verfügungsteil 2, IV-act. 166). Die Beschwerdeführerin brachte keine Mängel an der gutachterlichen Beurteilung vor. Bei der Würdigung des Gutachtens fällt ins Gewicht, dass es auf eigenständigen Abklärungen beruht und für die streitigen Belange umfassend ist. Die medizinischen Vorakten wurden verwertet und diskutiert. Die von der Beschwerdeführerin geklagten Beschwerden wurden gewürdigt. Die Bescheinigung einer 50%igen Arbeitsfähigkeit für leidensangepasste Tätigkeiten leuchtet sodann vor dem Hintergrund der Darlegung der medizinischen Zusammenhänge und der Beurteilung der medizinischen Situation ein. Weiter bestehen keine Anhaltspunkte dafür, dass objektiv wesentliche Tatsachen nicht berücksichtigt worden wären. Es bestehen keine Zweifel an der gutachterlichen Beurteilung, weshalb darauf abzustellen ist. Daran ändert die ausschliesslich vom Rechtsdienst stammende, nicht näher begründete Kritik in der Beschwerdeantwort an der rheumatologischerseits bescheinigten Arbeitsunfähigkeit nichts ("nicht plausibel begründet", act. G 4, Rz 1.2), zumal der RAD die gutachterliche Einschätzung begründet bestätigt hat (IV-act. 139). Im Übrigen deckt sich die Arbeitsfähigkeitsschätzung von Dr. I.___ mit derjenigen des rheumatologischen Teilgutachtens des IME vom 16. Juni 2009 (Fremdakten, S. 7 f. des IME-Gutachtens).</w:t>
      </w:r>
    </w:p>
    <w:p>
      <w:r>
        <w:rPr>
          <w:b/>
        </w:rPr>
        <w:t>E. 3</w:t>
      </w:r>
    </w:p>
    <w:p>
      <w:r>
        <w:t>Erst im Beschwerdeverfahren bringt die Beschwerdegegnerin vor, die medizinisch bescheinigte Arbeitsunfähigkeit sei aus rechtlicher Sicht nicht von Bedeutung, da es an einem invalidisierenden Gesundheitsschaden mangle. Es sei aus rechtlicher Sicht vielmehr von einer vollständigen Arbeitsfähigkeit auszugehen (act. G 4, Rz 1.2 f.), wobei sie an anderer Stelle im Widerspruch hierzu wiederum von "invalidisierenden Leiden" spricht (act. G 4, Rz 2). 3.1      Das regelmässig anzutreffende Verhalten der Beschwerdegegnerin, erst im Beschwerdeverfahren die invalidisierende Wirkung der von den Gutachtern und vom RAD bestätigten Arbeitsunfähigkeit zu verneinen (anstatt vieler siehe etwa Entscheide des Versicherungsgerichts vom 25. November 2010, IV 2010/87, E. 3.1, vom 2. September 2013, IV 2011/255, E. 4, und vom 29. Januar 2014, IV 2012/309, E. 3.2), ist mit dem von Verfassungs wegen von der Verwaltung zu berücksichtigenden Gebot, sich im Rechtsverkehr redlich, vertrauenswürdig und rücksichtsvoll zu verhalten (Art. 5 Abs. 3 der Bundesverfassung [BV; SR 101]), nicht vereinbar. Dieses widersprüchliche Vorgehen der Beschwerdegegnerin (vgl. Urteil des Versicherungsgerichts des Kantons St. Gallen vom 31. Januar 2013, IV 2011/26, E. 3.2, in diesem Kontext durch Urteil des Bundesgerichts vom 2. Dezember 2013, 8C-139/2013, E. 2.2.2 f., bestätigt) wirft ein ungünstiges Licht auf ihre Abklärungs- und Entscheidpraxis (siehe auch Urteil des Bundesgerichts vom 7. Januar 2009, 8C_348/2008, E. 4.3), zumal beschwerdeführende Parteien mit der Verneinung der "invalidisierenden Wirkung" erst im mit Kostenrisiken behafteten Beschwerdeverfahren konfrontiert werden. Im Übrigen ist dieses Verhalten auch unter dem Aspekt des rechtlichen Gehörs nicht unbedenklich. Dieses widersprüchliche Verhalten der Beschwerdegegnerin ist - je nach Ausgang des Verfahrens - bei den Kosten- und Entschädigungsfolgen zu berücksichtigen (vgl. betreffend Kostenfolgen Urteil des Bundesgerichts vom 2. Dezember 2013, 8C_139/2013, E. 3). 3.2      Die Beschwerdegegnerin vertritt den Standpunkt, das chronifizierte zervikolumbale Schmerzsyndrom links (ICD-10: M54.4 und M53.1) stelle ein pathogenetisch-ätiologisch unklares syndromales Beschwerdebild dar (act. G 4, Rz 1.1 f.). Ob diese Sichtweise zutrifft, nachdem im Gutachten vom 30. April 2012 die Diagnose einer anhaltenden somatoformen Schmerzstörung oder eines vergleichbaren syndromalen Zustands ausdrücklich ausgeschlossen wurde (IV-act. 136-8 und -81 mit Hinweis auf "einen wesentlichen organisch fassbaren Kern"), erscheint fraglich, kann indessen offen bleiben. Denn selbst wenn ein entsprechendes Beschwerdebild bejaht würde, besteht in Berücksichtigung der im amtlich zu publizierenden Urteil des Bundesgerichts vom 3. Juni 2015, 9C_492/2014, begründeten Praxisänderung kein Anlass, dem "chronifizierten Rückenschmerzleiden" (IV-act. 139-2) eine invalidisierende Wirkung abzusprechen. 3.2.1  Dabei fällt zunächst ins Gewicht, dass der RAD die gutachterliche Beurteilung "aus versicherungsmedizinischer Sicht" bestätigte (Stellungnahme vom 6. Juni 2012, IV-act. 139-2). 3.2.2  Das Leiden hat sich als grundsätzlich behandlungsresistent erwiesen. Nach gutachterlicher Auffassung ist die gegenwärtige ambulante psychiatrische, psychotherapeutische und medikamentöse Behandlung sinnvoll. Eine wesentliche Verbesserung des Zustands und damit auch der Arbeitsfähigkeit könne jedoch nicht mit überwiegender Wahrscheinlichkeit erwartet werden. Aus rheumatologischer Sicht seien "höchstens Massnahmen und Erhebung allgemeiner Dekonditionierung sinnvoll". Daneben seien es vor allem schmerztherapeutische Massnahmen, die eine Verbesserung der Belastbarkeit bringen könnten (IV-act. 136-7). Der RAD teilte diese Auffassung und führte aus, die Arbeitsfähigkeit könne durch medizinische Massnahmen nicht relevant verändert werden (IV-act. 139-2). Auch Dr. E.___ sprach von einer therapeutisch nur schwer zu beeinflussenden Störung (IV-act. 128-1). 3.2.3  Was die Frage nach der Konsistenz anbelangt, so wird in den früheren Akten somatischerseits von einer Symptomausweitung bzw. einer Diskrepanz zwischen Angaben der Beschwerdeführerin und dem objektiven Befund berichtet (Bericht Dr. D.___ vom 29. Juli 2009, IV-act. 16-3, und IME-Gutachten, S. 7, Fremdakten). Indessen wies bereits der rheumatologische IME-Gutachter in diesem Zusammenhang darauf hin, dass das Schmerzerleben wahrscheinlich durch das depressive Leiden negativ beeinflusst werde (IME-Gutachten, S. 7, Fremdakten). Sodann legte auch Dr. E.___ dar, die Wahrnehmung der somatischen Schmerzkomponente sei depressiv verstärkt (IV-act. 58-2), was von Dr. J.___ bestätigt wurde (IV-act. 136-9 und -84). Dr. I.___ bezeichnete die Grundstimmung bei der Befragung wie auch bei der Untersuchung als konsistent (IV-act. 136-34). Dr. J.___ verneinte Hinweise auf eine willentliche Herbeiführung oder massive Verdeutlichung psychischer oder körperlicher Störungen im Sinn einer Aggravation (IV-act. 136-77). Damit ist davon auszugehen, dass allfällige Verdeutlichungstendenzen auf das depressive Leiden zurückzuführen sind. Entscheidend ist weiter, dass der RAD Hinweise auf ein suboptimales Leistungsverhalten bzw. relevante Inkonsistenzen ausdrücklich verneint hat (IV-act. 139-2) und auch die Beschwerdegegnerin keine gegenteiligen Gesichtspunkte benennt. Hinzu kommt, dass sich die Beschwerdeführerin im Rahmen der versuchten Wiedereingliederung motiviert zeigte ("Sie behilft sich selber, wechselt wenn nötig die Position beim Putzen. Möchte gerne wieder arbeiten.", IV-act. 99-1; "Sie war motiviert", IV-act. 122-2; zur sehr guten Zielerreichung bei der Tätigkeit im Kleideratelier H.___ siehe IV-act. 122-3 sowie das Arbeitszeugnis vom 18. Oktober 2011, IV-act. 120) und sich den empfohlenen medizinischen Behandlungen unterzogen hat (siehe etwa IV-act. 128-1). Schliesslich lässt sich den Akten entnehmen, dass das Leiden auch zu erheblichen Einschränkungen in den Aktivitäten des täglichen Lebens führt und dass die derzeitige soziale Situation stark vom "Niveau sozialer Aktivität" vor Eintritt des Gesundheitsschadens (zur Wesentlichkeit dieses Aspekts siehe Urteil des Bundesgerichts vom 3. Juni 2015, 9C_492/2015. E. 4.4.1) abweicht (IV-act. 136-71 f. und 136-74 f. [glaubhafte fremdanamnestische Angaben der Tochter der Beschwerdeführerin] und IV-act. 153-10). 3.2.4  Aus vorstehender Erwägung geht sodann hervor, dass das ausgewiesene mehrjährige depressive Leiden erheblichen Einfluss auch auf das Schmerzerleben hat (siehe nachstehende E. 3.3.1 ff.) und damit - unabhängig von der Frage nach dessen Selbstständigkeit - als (zusätzlicher) ressourcenhemmender Faktor zu anerkennen ist (vgl. amtlich zu publizierendes Urteil des Bundesgerichts vom 3. Juni 2015, 9C_492/2014, E. 4.3.1.3). 3.2.5  In Anbetracht dieser Umstände besteht hinsichtlich des chronifizierten Rückenschmerzleidens kein Anlass, bei der Beurteilung der Erwerbsunfähigkeit von der beweiskräftigen medizinischen Einschätzung der Folgen des Gesundheitsschadens abzuweichen. Es ist damit allein mit Blick auf die rheumatologische Beurteilung von einer 50%igen Arbeitsunfähigkeit für leidensangepasste Tätigkeiten auszugehen. 3.3      Dem depressiven Leiden spricht die Beschwerdegegnerin den Charakter eines invalidisierenden Gesundheitsschadens mit der Begründung ab, es handle sich dabei um eine reaktive Begleiterscheinung zur Schmerzstörung. Eine solche Depression entspreche keiner invalidisierenden psychischen Komorbidität, weil kein von depressiven Verstimmungszuständen klar unterscheidbarer verselbstständigter und pathologischer Gesundheitsschaden vorliege. Weil zusätzlich psychosoziale Umstände (Kündigung der Arbeitsstelle Ende 2008) das Bild (mit-)prägten, sei bei der Annahme einer rentenbegründenden Invalidität Zurückhaltung geboten (act. G 4, Rz 1.3). 3.3.1  Die Ausführungen der Beschwerdegegnerin stützen sich hauptsächlich auf eine durch das bereits erwähnte amtlich zu publizierende Urteil 9C_492/2015 überholte Rechtsprechung. Darin führte das Bundesgericht aus, dass namentlich nicht mehr an der Betrachtungsweise des von der Beschwerdegegnerin u.a. referenzierten Urteils 9C_210/2012 festgehalten werde. Es gelangte zur Auffassung, dass bei Zusammenfallen von Depression und Schmerz eine Gesamtbetrachtung stattzufinden habe. Eine allfällige Konnexität zwischen Schmerzleiden und Depression führt aus invalidenversicherungsrechtlicher Sicht nicht (mehr) zur Bedeutungslosigkeit der depressiven Erkrankung (E. 4.3.1.1). Vor diesem Hintergrund erübrigt sich eine nähere Auseinandersetzung mit der Argumentation der Beschwerdegegnerin. 3.3.2  Im Licht der geänderten bundesgerichtlichen Praxis und einer Gesamtbetrachtung ist entscheidend, dass sich das mittelgradige depressive Geschehen wie ein roter Faden seit Jahren durch die medizinische Aktenlage (einschliesslich der Beurteilung durch den RAD, IV-act. 139-2) zieht (IME-Gutachten vom 16. Juni 2009, S. 8 ff., Fremdakten; IV-act. 58, IV-act. 95 und 136-44 ff.). Es führt nicht bloss zu einer reduzierten Belastbarkeit (zu den von Dr. J.___ aufgeführten depressiven Symptomen siehe IV-act. 136-80 f.; siehe auch zum Einfluss des depressiven Leidens auf die Arbeitsfähigkeit IME-Gutachten vom 16. Juni 2009, S. 14, Fremdakten), sondern hat auch einen wesentlichen Einfluss auf die Schmerzen (siehe vorstehende E. 3.2.3 f.). Das depressive Leiden ist behandlungsresistent (siehe vorstehende E. 3.2.2). Die angesichts dieser Verhältnisse als erheblich zu bezeichnende depressive Erkrankung ist - wie bereits erwähnt (siehe vorstehende E. 3.2.4) - zumindest als ressourcenhemmender Faktor bei der Beurteilung des Schmerzleidens im Rahmen einer Gesamtbetrachtung zu berücksichtigen. 3.3.3  Daran ändert der Hinweis der Beschwerdegegnerin, Teilursache des depressiven Leidens sei die Kündigung der Arbeitsstelle, nichts. Denn es ergibt sich weder aus den Akten noch den Ausführungen in der Beschwerdeantwort (act. G 4, Rz 1.3), dass das depressive Leiden im Wesentlichen in einer durch die Kündigung bedingten Kränkung aufgeht (vgl. zum Ganzen Urteil des Bundesgerichts vom 20. Mai 2014, 9C_118/2014, E. 4.2.2). Bereits im IME-Gutachten wurden "nichtmedizinische Probleme, welche die Arbeitsfähigkeit wesentlich beeinträchtigen" verneint (S. 16 Fremdakten). Dr. J.___ verneinte das Bestehen schwerwiegender psychosozialer Probleme hinsichtlich des Schmerzleidens. Wohl seien im Verlauf psychosoziale Probleme aufgetreten. Diese seien jedoch als Folge und nicht als Ursache der chronischen Schmerzen zu sehen (IV-act. 136-81). Es besteht kein Anlass, bezüglich des depressiven Leidens eine davon abweichende Beurteilung vorzunehmen. Im Übrigen sprechen die wechselseitige Beeinflussung zwischen der depressiven Störung und dem Schmerzleiden sowie der weit zurückliegende Zeitpunkt der Kündigung gegen eine andere Betrachtungsweise. 3.3.4  Die Frage, ob das depressive Leiden einen selbstständigen bzw. verselbstständigen Gesundheitsschaden darstellt, der für sich allein zu einer 50%igen Arbeitsunfähigkeit führt, kann offen bleiben. Denn selbst wenn dies bejaht würde, so ist von der Beschwerdeführerin unbestritten und ergibt sich aus der Konsensbeurteilung der Dres. I.___ und J.___, dass den depressionsbedingten Einschränkungen bei der Arbeitsfähigkeitsschätzung kein (teil-)additiver Effekt zu den Beeinträchtigungen des Rückenschmerzleidens (50%ige Arbeitsunfähigkeit; siehe vorstehende E. 3.2.5) zukommt.</w:t>
      </w:r>
    </w:p>
    <w:p>
      <w:r>
        <w:rPr>
          <w:b/>
        </w:rPr>
        <w:t>E. 4</w:t>
      </w:r>
    </w:p>
    <w:p>
      <w:r>
        <w:t>Ausgehend von einer 50%igen Restarbeitsfähigkeit für leidensangepasste Tätigkeiten bleibt der Invaliditätsgrad zu ermitteln. 4.1      Vorliegend kann offen bleiben, welches der von den Parteien ins Feld geführten Valideneinkommen zutreffend ist. Denn aus den Akten ergibt sich (IV-act. 10 und IV-act. 25) und ist unbestritten (die Beschwerdeführerin macht ein Valideneinkommen für das Jahr 2011 von Fr. 50'353.-- geltend, act. G 1, Rz 5, S. 7; in der Beschwerdeantwort hielt die Beschwerdegegnerin ein Valideneinkommen für das Jahr 2011 von Fr. 51'441.-- für zutreffend, act. G 4, Rz 2), dass die Beschwerdeführerin im Vergleich zum statistischen Hilfsarbeiterinnenlohn nicht überdurchschnittlich verdient hat. Selbst ein zu ihren Gunsten durchgeführter Prozentvergleich führt zum gleich hohen Rentenanspruch, wie wenn zu ihren Lasten auf das in der angefochtenen Verfügung berücksichtigte Valideneinkommen (Fr. 42'299.-- für das Jahr 2011, IV-act. 156 und IV-act. 165) abgestellt wird. Denn bei der Bestimmung des Invalideneinkommens ist, was die Beschwerdegegnerin inzwischen in der Beschwerdeantwort anerkannt hat, ein Tabellenlohnabzug gerechtfertigt. Die Beschwerdegegnerin hält einen 10%igen Abzug allein mit Blick auf das eingeschränkte Spektrum (nur noch leichte Hilfstätigkeiten) für gerechtfertigt (act. G 4, Rz/3 ). Angesichts der erheblich einschränkenden qualitativen Anforderungen an eine leidensangepasste Tätigkeit (IV-act. 136-6) erscheint ein 10%iger Abzug angemessen, zumal u.a. ein bei der quantitativen Bestimmung der Restarbeitsfähigkeit noch nicht berücksichtigter zusätzlicher Pausenbedarf besteht ("mit der Möglichkeit nach 50 Minuten 10 Minuten Pausen einschalten zu können", IV-act. 136-6). Die 196_ geborene Beschwerdeführerin steht zwar im fortgeschrittenen Alter. Indessen hatte sie im Zeitpunkt der angefochtenen Verfügung vom 25. Juni 2013 bis zum Erreichen des ordentlichen AHV-Rentenalters noch eine Aktivitätsdauer von mehr als zehn Jahren vor sich, weshalb der Faktor Alter nicht zusätzlich über den bereits gewährten Abzug hinaus zu berücksichtigen ist. Es bestehen auch keine weiteren Umstände, die eine Erhöhung des Abzugs rechtfertigen. Insbesondere besteht entgegen der Sichtweise der Beschwerdeführerin (act. G 1, S. 9) kein Anlass für die Auffassung, dass sie im Hilfsarbeiterinnensektor aufgrund ihrer Nationalität (die Beschwerdeführerin verfügt über das Schweizer Bürgerrecht, IV-act. 1-1) oder der mangelnden Berufsbildung einen relevanten Lohnnachteil zu befürchten hat. 4.2      Im Rahmen eines Prozentvergleichs resultiert bei einer 50%igen Arbeitsunfähigkeit und einem 10%igen Tabellenlohnabzug ein Invaliditätsgrad von 55% (50% + [50% x 10%]). Bei Berücksichtigung der von der Beschwerdegegnerin in der angefochtenen Verfügung herangezogenen, parallelisierten Vergleichseinkommen (vgl. IV-act. 166-2) ergibt sich bei einem Tabellenlohnabzug von 10% ein Invalideneinkommen von Fr. 19'986.-- (Fr. 22'207.-- x 0,9), eine Erwerbseinbusse von Fr. 22'313.-- (Fr. 42'299.-- - Fr. 19'986.--) und ein Invaliditätsgrad von aufgerundet 53% ([Fr. 22'313.-- / Fr. 42'299.--] x 100). Die Beschwerdeführerin hat ab dem unbestritten gebliebenen 1. Januar 2010 Anspruch auf eine halbe Rente. Bei der Rentenausrichtung wird die Beschwerdegegnerin die bereits ausbezahlten Taggeldleistungen und die Koordinationsnorm von Art. 43 Abs. 2 IVG zu beachten haben (zu den Taggeldleistungen für die Dauer vom 19. April bis 19. Juli 2011 und vom 20. Juli bis 23. Oktober 2011 siehe IV-act. 87 und IV-act. 117).</w:t>
      </w:r>
    </w:p>
    <w:p>
      <w:r>
        <w:rPr>
          <w:b/>
        </w:rPr>
        <w:t>E. 5</w:t>
      </w:r>
    </w:p>
    <w:p>
      <w:r>
        <w:t>5.1      In teilweiser Gutheissung der Beschwerde sind die Verfügungen vom 25. Juni 2013 aufzuheben. Der Beschwerdeführerin ist mit Wirkung ab 1. Januar 2010 eine halbe Rente zuzusprechen. Zur Festsetzung und Ausrichtung der Rentenleistung ist die Sache an die Beschwerdegegnerin zurückzuweisen. 5.2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Beschwerdegegnerin aufzuerlegen (vgl. betreffend Überklagung Urteil des Versicherungsgerichts des Kantons St. Gallen vom 19. Dezember 2011, IV 2009/459, E. 5.2 f.). Der von der Beschwerdeführerin geleistete Kostenvorschuss von Fr. 600.-- ist ihr zurückzuerstatten.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eine Parteientschädigung von Fr. 3'500.-- (inklusive Barauslagen und Mehrwertsteuer) als angemessen. Entscheid im Zirkulationsverfahren gemäss Art. 39 VRP 1. In teilweiser Gutheissung der Beschwerde werden die Verfügungen vom 25. Juni 2013 aufgehoben. Der Beschwerdeführerin wird mit Wirkung ab 1. Januar 2010 eine halbe Rente zugesprochen. Zur Festsetzung und Ausrichtung der Rentenleistung ist die Sache an die Beschwerdegegnerin zurückzuweisen. 2. Die Beschwerdegegnerin hat die Gerichtskosten von Fr. 600.-- zu bezahlen. Der geleistete Kostenvorschuss von Fr. 600.-- wird der Beschwerdeführerin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